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83A5" w14:textId="77777777" w:rsidR="00EA7706" w:rsidRPr="00EA7706" w:rsidRDefault="00EA7706" w:rsidP="00EA7706">
      <w:pPr>
        <w:jc w:val="center"/>
        <w:rPr>
          <w:rFonts w:ascii="Tahoma" w:hAnsi="Tahoma" w:cs="Tahoma"/>
        </w:rPr>
      </w:pPr>
      <w:r w:rsidRPr="00EA7706">
        <w:rPr>
          <w:rFonts w:ascii="Tahoma" w:hAnsi="Tahoma" w:cs="Tahoma"/>
        </w:rPr>
        <w:t>John 14:6: Jesus said, “I am the way and the truth and the life.”</w:t>
      </w:r>
    </w:p>
    <w:p w14:paraId="60CDBD56" w14:textId="77777777" w:rsidR="00712F2E" w:rsidRPr="00EA7706" w:rsidRDefault="00EA7706" w:rsidP="00EA7706">
      <w:pPr>
        <w:jc w:val="center"/>
        <w:rPr>
          <w:rFonts w:ascii="Tahoma" w:hAnsi="Tahoma" w:cs="Tahoma"/>
        </w:rPr>
      </w:pPr>
      <w:r w:rsidRPr="00EA7706">
        <w:rPr>
          <w:rFonts w:ascii="Tahoma" w:hAnsi="Tahoma" w:cs="Tahoma"/>
        </w:rPr>
        <w:t>Our School believes in;</w:t>
      </w:r>
    </w:p>
    <w:p w14:paraId="6CB9BA56"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Enabling everyone to reach their full potential</w:t>
      </w:r>
    </w:p>
    <w:p w14:paraId="27C0D7CF"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Developing a love for learning and a desire to achieve</w:t>
      </w:r>
    </w:p>
    <w:p w14:paraId="7A0412CE" w14:textId="77777777" w:rsidR="0003511B"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hAnsi="Tahoma" w:cs="Tahoma"/>
          <w:b/>
          <w:color w:val="4472C4" w:themeColor="accent1"/>
        </w:rPr>
        <w:t>Encouraging everyone to become independent and confident, with a belief in themselves</w:t>
      </w:r>
    </w:p>
    <w:p w14:paraId="3EBAEF8F" w14:textId="77777777" w:rsidR="00EA7706" w:rsidRPr="0003511B" w:rsidRDefault="0003511B" w:rsidP="0003511B">
      <w:pPr>
        <w:pStyle w:val="ListParagraph"/>
        <w:numPr>
          <w:ilvl w:val="0"/>
          <w:numId w:val="2"/>
        </w:numPr>
        <w:jc w:val="center"/>
        <w:rPr>
          <w:rFonts w:ascii="Tahoma" w:hAnsi="Tahoma" w:cs="Tahoma"/>
          <w:b/>
          <w:color w:val="4472C4" w:themeColor="accent1"/>
        </w:rPr>
      </w:pPr>
      <w:r w:rsidRPr="0003511B">
        <w:rPr>
          <w:rFonts w:ascii="Tahoma" w:eastAsia="Times New Roman" w:hAnsi="Tahoma" w:cs="Tahoma"/>
          <w:b/>
          <w:color w:val="4472C4" w:themeColor="accent1"/>
          <w:lang w:eastAsia="en-GB"/>
        </w:rPr>
        <w:t>Promoting Christian values and respecting diversity</w:t>
      </w:r>
    </w:p>
    <w:p w14:paraId="6E469829" w14:textId="77777777" w:rsidR="00EA7706" w:rsidRPr="0003511B" w:rsidRDefault="00EA7706" w:rsidP="0003511B">
      <w:pPr>
        <w:jc w:val="center"/>
        <w:rPr>
          <w:rFonts w:ascii="Tahoma" w:hAnsi="Tahoma" w:cs="Tahoma"/>
          <w:sz w:val="28"/>
        </w:rPr>
      </w:pPr>
      <w:r w:rsidRPr="0003511B">
        <w:rPr>
          <w:rFonts w:ascii="Tahoma" w:hAnsi="Tahoma" w:cs="Tahoma"/>
          <w:b/>
          <w:color w:val="4472C4" w:themeColor="accent1"/>
          <w:sz w:val="28"/>
        </w:rPr>
        <w:t>B</w:t>
      </w:r>
      <w:r w:rsidRPr="0003511B">
        <w:rPr>
          <w:rFonts w:ascii="Tahoma" w:hAnsi="Tahoma" w:cs="Tahoma"/>
          <w:sz w:val="28"/>
        </w:rPr>
        <w:t>ecoming </w:t>
      </w:r>
      <w:r w:rsidRPr="0003511B">
        <w:rPr>
          <w:rFonts w:ascii="Tahoma" w:hAnsi="Tahoma" w:cs="Tahoma"/>
          <w:b/>
          <w:color w:val="4472C4" w:themeColor="accent1"/>
          <w:sz w:val="28"/>
        </w:rPr>
        <w:t>I</w:t>
      </w:r>
      <w:r w:rsidRPr="0003511B">
        <w:rPr>
          <w:rFonts w:ascii="Tahoma" w:hAnsi="Tahoma" w:cs="Tahoma"/>
          <w:sz w:val="28"/>
        </w:rPr>
        <w:t>ndependent </w:t>
      </w:r>
      <w:r w:rsidRPr="0003511B">
        <w:rPr>
          <w:rFonts w:ascii="Tahoma" w:hAnsi="Tahoma" w:cs="Tahoma"/>
          <w:b/>
          <w:color w:val="4472C4" w:themeColor="accent1"/>
          <w:sz w:val="28"/>
        </w:rPr>
        <w:t>S</w:t>
      </w:r>
      <w:r w:rsidRPr="0003511B">
        <w:rPr>
          <w:rFonts w:ascii="Tahoma" w:hAnsi="Tahoma" w:cs="Tahoma"/>
          <w:sz w:val="28"/>
        </w:rPr>
        <w:t>uccessful </w:t>
      </w:r>
      <w:r w:rsidRPr="0003511B">
        <w:rPr>
          <w:rFonts w:ascii="Tahoma" w:hAnsi="Tahoma" w:cs="Tahoma"/>
          <w:b/>
          <w:color w:val="4472C4" w:themeColor="accent1"/>
          <w:sz w:val="28"/>
        </w:rPr>
        <w:t>H</w:t>
      </w:r>
      <w:r w:rsidRPr="0003511B">
        <w:rPr>
          <w:rFonts w:ascii="Tahoma" w:hAnsi="Tahoma" w:cs="Tahoma"/>
          <w:sz w:val="28"/>
        </w:rPr>
        <w:t>onest </w:t>
      </w:r>
      <w:r w:rsidRPr="0003511B">
        <w:rPr>
          <w:rFonts w:ascii="Tahoma" w:hAnsi="Tahoma" w:cs="Tahoma"/>
          <w:b/>
          <w:color w:val="4472C4" w:themeColor="accent1"/>
          <w:sz w:val="28"/>
        </w:rPr>
        <w:t>O</w:t>
      </w:r>
      <w:r w:rsidRPr="0003511B">
        <w:rPr>
          <w:rFonts w:ascii="Tahoma" w:hAnsi="Tahoma" w:cs="Tahoma"/>
          <w:sz w:val="28"/>
        </w:rPr>
        <w:t>pen-Minded People</w:t>
      </w:r>
    </w:p>
    <w:tbl>
      <w:tblPr>
        <w:tblStyle w:val="TableGrid"/>
        <w:tblpPr w:leftFromText="180" w:rightFromText="180" w:vertAnchor="text" w:horzAnchor="margin" w:tblpY="267"/>
        <w:tblW w:w="0" w:type="auto"/>
        <w:tblLook w:val="04A0" w:firstRow="1" w:lastRow="0" w:firstColumn="1" w:lastColumn="0" w:noHBand="0" w:noVBand="1"/>
      </w:tblPr>
      <w:tblGrid>
        <w:gridCol w:w="2804"/>
        <w:gridCol w:w="3156"/>
        <w:gridCol w:w="2826"/>
        <w:gridCol w:w="2285"/>
        <w:gridCol w:w="2877"/>
      </w:tblGrid>
      <w:tr w:rsidR="002D25DB" w:rsidRPr="0038577A" w14:paraId="1D663265" w14:textId="77777777" w:rsidTr="002D25DB">
        <w:tc>
          <w:tcPr>
            <w:tcW w:w="2804" w:type="dxa"/>
            <w:shd w:val="clear" w:color="auto" w:fill="0070C0"/>
          </w:tcPr>
          <w:p w14:paraId="1B0844B0" w14:textId="77777777" w:rsidR="002D25DB" w:rsidRPr="0038577A" w:rsidRDefault="002D25DB" w:rsidP="002D25DB">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3156" w:type="dxa"/>
            <w:shd w:val="clear" w:color="auto" w:fill="0070C0"/>
          </w:tcPr>
          <w:p w14:paraId="273FD4D4"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56D48807" w14:textId="77777777" w:rsidR="002D25DB" w:rsidRPr="0038577A" w:rsidRDefault="002D25DB" w:rsidP="002D25DB">
            <w:pPr>
              <w:jc w:val="center"/>
              <w:rPr>
                <w:rFonts w:ascii="Tahoma" w:hAnsi="Tahoma" w:cs="Tahoma"/>
                <w:b/>
                <w:color w:val="FFFFFF" w:themeColor="background1"/>
                <w:sz w:val="24"/>
              </w:rPr>
            </w:pPr>
          </w:p>
        </w:tc>
        <w:tc>
          <w:tcPr>
            <w:tcW w:w="2826" w:type="dxa"/>
            <w:shd w:val="clear" w:color="auto" w:fill="0070C0"/>
          </w:tcPr>
          <w:p w14:paraId="32736B88"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2285" w:type="dxa"/>
            <w:shd w:val="clear" w:color="auto" w:fill="0070C0"/>
          </w:tcPr>
          <w:p w14:paraId="10F104F8"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2877" w:type="dxa"/>
            <w:shd w:val="clear" w:color="auto" w:fill="0070C0"/>
          </w:tcPr>
          <w:p w14:paraId="0958594A" w14:textId="77777777" w:rsidR="002D25DB" w:rsidRPr="0038577A" w:rsidRDefault="002D25DB" w:rsidP="002D25DB">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2D25DB" w:rsidRPr="0038577A" w14:paraId="20374BFA" w14:textId="77777777" w:rsidTr="002D25DB">
        <w:tc>
          <w:tcPr>
            <w:tcW w:w="2804" w:type="dxa"/>
          </w:tcPr>
          <w:p w14:paraId="74A7FD3E" w14:textId="77777777" w:rsidR="002D25DB" w:rsidRPr="007948BF" w:rsidRDefault="002D25DB" w:rsidP="002D25DB">
            <w:pPr>
              <w:rPr>
                <w:rFonts w:ascii="Tahoma" w:hAnsi="Tahoma" w:cs="Tahoma"/>
                <w:sz w:val="24"/>
              </w:rPr>
            </w:pPr>
            <w:r>
              <w:rPr>
                <w:rFonts w:ascii="Tahoma" w:hAnsi="Tahoma" w:cs="Tahoma"/>
                <w:sz w:val="24"/>
              </w:rPr>
              <w:t>Enabling everyone to reach their full potential</w:t>
            </w:r>
          </w:p>
        </w:tc>
        <w:tc>
          <w:tcPr>
            <w:tcW w:w="11144" w:type="dxa"/>
            <w:gridSpan w:val="4"/>
          </w:tcPr>
          <w:p w14:paraId="6BAB2856" w14:textId="72B31CB3" w:rsidR="002D25DB" w:rsidRDefault="00E01234" w:rsidP="002D25DB">
            <w:pPr>
              <w:rPr>
                <w:rFonts w:ascii="Tahoma" w:hAnsi="Tahoma" w:cs="Tahoma"/>
                <w:sz w:val="24"/>
                <w:szCs w:val="24"/>
              </w:rPr>
            </w:pPr>
            <w:r>
              <w:rPr>
                <w:rFonts w:ascii="Tahoma" w:hAnsi="Tahoma" w:cs="Tahoma"/>
                <w:sz w:val="24"/>
                <w:szCs w:val="24"/>
              </w:rPr>
              <w:t xml:space="preserve">Music can play a crucial role in enabling all children to reach their full potential. By incorporating music education into the school curriculum, pupils are provided with a creative outlet to express themselves and develop their talents. Music education can help pupils to develop key skills such as communication, teamwork and problem-solving. Through music, pupils can learn how to work together in a group setting, listen to others and take on leadership roles. These skills are transferable to all areas of life and can help pupils to excel both academically and socially. Additionally, music can have a positive impact on pupils’ mental health and well-being. Engaging in music can help reduce stress and anxiety, improve mood and increase feelings of self-confidence and self-esteem. This can create a more positive and supportive learning environment for all pupils in school. Furthermore, music education can help pupils to develop their creativity and critical thinking skills. By learning how to play an instrument, sing, or compose music, pupils are encouraged to think outside the box and explore new ideas. This can help them to become more innovative and open-minded individuals, capable of tackling challenges and solving problems in unique ways. </w:t>
            </w:r>
          </w:p>
        </w:tc>
      </w:tr>
      <w:tr w:rsidR="002D25DB" w:rsidRPr="0038577A" w14:paraId="2F3C398F" w14:textId="77777777" w:rsidTr="002D25DB">
        <w:tc>
          <w:tcPr>
            <w:tcW w:w="2804" w:type="dxa"/>
          </w:tcPr>
          <w:p w14:paraId="046A7C7B" w14:textId="77777777" w:rsidR="002D25DB" w:rsidRPr="007948BF" w:rsidRDefault="002D25DB" w:rsidP="002D25DB">
            <w:pPr>
              <w:rPr>
                <w:rFonts w:ascii="Tahoma" w:hAnsi="Tahoma" w:cs="Tahoma"/>
                <w:sz w:val="24"/>
              </w:rPr>
            </w:pPr>
            <w:r>
              <w:rPr>
                <w:rFonts w:ascii="Tahoma" w:hAnsi="Tahoma" w:cs="Tahoma"/>
                <w:sz w:val="24"/>
              </w:rPr>
              <w:t>Developing a love for learning and a desire to achieve</w:t>
            </w:r>
          </w:p>
        </w:tc>
        <w:tc>
          <w:tcPr>
            <w:tcW w:w="11144" w:type="dxa"/>
            <w:gridSpan w:val="4"/>
          </w:tcPr>
          <w:p w14:paraId="0436392E" w14:textId="2500969F" w:rsidR="002D25DB" w:rsidRDefault="00E01234" w:rsidP="002D25DB">
            <w:pPr>
              <w:rPr>
                <w:rFonts w:ascii="Tahoma" w:hAnsi="Tahoma" w:cs="Tahoma"/>
                <w:sz w:val="24"/>
                <w:szCs w:val="24"/>
              </w:rPr>
            </w:pPr>
            <w:r>
              <w:rPr>
                <w:rFonts w:ascii="Tahoma" w:hAnsi="Tahoma" w:cs="Tahoma"/>
                <w:sz w:val="24"/>
                <w:szCs w:val="24"/>
              </w:rPr>
              <w:t xml:space="preserve">The teaching </w:t>
            </w:r>
            <w:r w:rsidR="001C276E">
              <w:rPr>
                <w:rFonts w:ascii="Tahoma" w:hAnsi="Tahoma" w:cs="Tahoma"/>
                <w:sz w:val="24"/>
                <w:szCs w:val="24"/>
              </w:rPr>
              <w:t xml:space="preserve">of music can play a significant role in developing a love for learning a desire to achieve in pupils. Music is a universal language that can engage pupils in a unique way, fostering a sense of curiosity and enthusiasm for learning. Overall the teaching of music can inspire a love for learning and a desire to achieve in pupils by providing a creative and engaging outlet for self-expression, fostering </w:t>
            </w:r>
            <w:r w:rsidR="001C276E">
              <w:rPr>
                <w:rFonts w:ascii="Tahoma" w:hAnsi="Tahoma" w:cs="Tahoma"/>
                <w:sz w:val="24"/>
                <w:szCs w:val="24"/>
              </w:rPr>
              <w:lastRenderedPageBreak/>
              <w:t xml:space="preserve">personal connections, building confidence and self-esteem, cultivating perseverance and dedication as well as encouraging goal-setting and achievement. </w:t>
            </w:r>
          </w:p>
        </w:tc>
      </w:tr>
      <w:tr w:rsidR="002D25DB" w:rsidRPr="0038577A" w14:paraId="5D1E2869" w14:textId="77777777" w:rsidTr="002D25DB">
        <w:tc>
          <w:tcPr>
            <w:tcW w:w="2804" w:type="dxa"/>
          </w:tcPr>
          <w:p w14:paraId="3478DDFE" w14:textId="77777777" w:rsidR="002D25DB" w:rsidRPr="007948BF" w:rsidRDefault="002D25DB" w:rsidP="002D25DB">
            <w:pPr>
              <w:rPr>
                <w:rFonts w:ascii="Tahoma" w:hAnsi="Tahoma" w:cs="Tahoma"/>
                <w:sz w:val="24"/>
              </w:rPr>
            </w:pPr>
            <w:r>
              <w:rPr>
                <w:rFonts w:ascii="Tahoma" w:hAnsi="Tahoma" w:cs="Tahoma"/>
                <w:sz w:val="24"/>
              </w:rPr>
              <w:lastRenderedPageBreak/>
              <w:t>Encouraging everyone to become independent and confident, with a belief in themselves</w:t>
            </w:r>
          </w:p>
        </w:tc>
        <w:tc>
          <w:tcPr>
            <w:tcW w:w="11144" w:type="dxa"/>
            <w:gridSpan w:val="4"/>
          </w:tcPr>
          <w:p w14:paraId="1BE93836" w14:textId="65734EAE" w:rsidR="002D25DB" w:rsidRDefault="001C276E" w:rsidP="002D25DB">
            <w:pPr>
              <w:rPr>
                <w:rFonts w:ascii="Tahoma" w:hAnsi="Tahoma" w:cs="Tahoma"/>
                <w:sz w:val="24"/>
                <w:szCs w:val="24"/>
              </w:rPr>
            </w:pPr>
            <w:r>
              <w:rPr>
                <w:rFonts w:ascii="Tahoma" w:hAnsi="Tahoma" w:cs="Tahoma"/>
                <w:sz w:val="24"/>
                <w:szCs w:val="24"/>
              </w:rPr>
              <w:t xml:space="preserve">The teaching of music can be a powerful tool in encouraging pupils to become independent and confident, with a belief in themselves. Music education provides a unique platform for pupils to explore their individual talents, express themselves creatively, and build skills that can boost their self-esteem and independence. Music education can empower pupils to embrace their talents, develop a sense of self-assurance and believe in their own potential. </w:t>
            </w:r>
          </w:p>
        </w:tc>
      </w:tr>
      <w:tr w:rsidR="002D25DB" w:rsidRPr="0038577A" w14:paraId="2A20E978" w14:textId="77777777" w:rsidTr="002D25DB">
        <w:tc>
          <w:tcPr>
            <w:tcW w:w="2804" w:type="dxa"/>
          </w:tcPr>
          <w:p w14:paraId="69013835" w14:textId="77777777" w:rsidR="002D25DB" w:rsidRPr="007948BF" w:rsidRDefault="002D25DB" w:rsidP="002D25DB">
            <w:pPr>
              <w:rPr>
                <w:rFonts w:ascii="Tahoma" w:hAnsi="Tahoma" w:cs="Tahoma"/>
                <w:sz w:val="24"/>
              </w:rPr>
            </w:pPr>
            <w:r>
              <w:rPr>
                <w:rFonts w:ascii="Tahoma" w:hAnsi="Tahoma" w:cs="Tahoma"/>
                <w:sz w:val="24"/>
              </w:rPr>
              <w:t>Promoting Christian Values and respecting diversity</w:t>
            </w:r>
          </w:p>
        </w:tc>
        <w:tc>
          <w:tcPr>
            <w:tcW w:w="11144" w:type="dxa"/>
            <w:gridSpan w:val="4"/>
          </w:tcPr>
          <w:p w14:paraId="6ED630F4" w14:textId="033F9643" w:rsidR="002D25DB" w:rsidRPr="007948BF" w:rsidRDefault="001C276E" w:rsidP="002D25DB">
            <w:pPr>
              <w:rPr>
                <w:rFonts w:ascii="Tahoma" w:hAnsi="Tahoma" w:cs="Tahoma"/>
                <w:sz w:val="24"/>
              </w:rPr>
            </w:pPr>
            <w:r>
              <w:rPr>
                <w:rFonts w:ascii="Tahoma" w:hAnsi="Tahoma" w:cs="Tahoma"/>
                <w:sz w:val="24"/>
              </w:rPr>
              <w:t xml:space="preserve">The teaching of music can play a significant role in promoting Christian values and respecting diversity. Music, with its universal appeal, can serve as a powerful medium to foster inclusivity, understanding and respect for different cultures, beliefs and traditions. Overall, the teaching of music can promote Christian values and respect </w:t>
            </w:r>
            <w:r w:rsidR="005C1B8E">
              <w:rPr>
                <w:rFonts w:ascii="Tahoma" w:hAnsi="Tahoma" w:cs="Tahoma"/>
                <w:sz w:val="24"/>
              </w:rPr>
              <w:t xml:space="preserve">of diversity by incorporating a diverse repertoire, encouraging empathy and compassion, teaching values through lyrics, celebrating diversity through music, and promoting unity through musical collaboration. Music education can serve as a powerful tool to foster a sense of inclusivity, understanding and respect for others, helping pupils to embrace diversity and promote Christian values in their school community. </w:t>
            </w:r>
            <w:bookmarkStart w:id="0" w:name="_GoBack"/>
            <w:bookmarkEnd w:id="0"/>
            <w:r w:rsidR="005C1B8E">
              <w:rPr>
                <w:rFonts w:ascii="Tahoma" w:hAnsi="Tahoma" w:cs="Tahoma"/>
                <w:sz w:val="24"/>
              </w:rPr>
              <w:t xml:space="preserve"> </w:t>
            </w:r>
          </w:p>
        </w:tc>
      </w:tr>
    </w:tbl>
    <w:p w14:paraId="6FFD8311" w14:textId="1F28F2FA" w:rsidR="00EA7706" w:rsidRPr="0003511B" w:rsidRDefault="00EA7706" w:rsidP="002D25DB">
      <w:pPr>
        <w:rPr>
          <w:rFonts w:ascii="Tahoma" w:hAnsi="Tahoma" w:cs="Tahoma"/>
          <w:b/>
          <w:bCs/>
          <w:sz w:val="32"/>
          <w:szCs w:val="32"/>
        </w:rPr>
      </w:pPr>
    </w:p>
    <w:sectPr w:rsidR="00EA7706" w:rsidRPr="0003511B" w:rsidSect="00FB52C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ACFC" w14:textId="77777777" w:rsidR="009355E8" w:rsidRDefault="009355E8" w:rsidP="00FB52CD">
      <w:pPr>
        <w:spacing w:after="0" w:line="240" w:lineRule="auto"/>
      </w:pPr>
      <w:r>
        <w:separator/>
      </w:r>
    </w:p>
  </w:endnote>
  <w:endnote w:type="continuationSeparator" w:id="0">
    <w:p w14:paraId="68CA0C4D" w14:textId="77777777" w:rsidR="009355E8" w:rsidRDefault="009355E8" w:rsidP="00FB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EE8F6" w14:textId="77777777" w:rsidR="009355E8" w:rsidRDefault="009355E8" w:rsidP="00FB52CD">
      <w:pPr>
        <w:spacing w:after="0" w:line="240" w:lineRule="auto"/>
      </w:pPr>
      <w:r>
        <w:separator/>
      </w:r>
    </w:p>
  </w:footnote>
  <w:footnote w:type="continuationSeparator" w:id="0">
    <w:p w14:paraId="58ACC344" w14:textId="77777777" w:rsidR="009355E8" w:rsidRDefault="009355E8" w:rsidP="00FB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3520" w14:textId="77777777" w:rsidR="00FB52CD" w:rsidRDefault="00FB52CD" w:rsidP="00FB52CD">
    <w:pPr>
      <w:jc w:val="center"/>
      <w:rPr>
        <w:rFonts w:ascii="Tahoma" w:hAnsi="Tahoma" w:cs="Tahoma"/>
        <w:bCs/>
        <w:smallCaps/>
        <w:color w:val="0000FF"/>
        <w:sz w:val="32"/>
      </w:rPr>
    </w:pPr>
    <w:r>
      <w:rPr>
        <w:noProof/>
      </w:rPr>
      <w:drawing>
        <wp:anchor distT="0" distB="0" distL="114300" distR="114300" simplePos="0" relativeHeight="251660288" behindDoc="1" locked="0" layoutInCell="1" allowOverlap="1" wp14:anchorId="300F5D8E" wp14:editId="5884D9A4">
          <wp:simplePos x="0" y="0"/>
          <wp:positionH relativeFrom="column">
            <wp:posOffset>342900</wp:posOffset>
          </wp:positionH>
          <wp:positionV relativeFrom="paragraph">
            <wp:posOffset>-11430</wp:posOffset>
          </wp:positionV>
          <wp:extent cx="457200" cy="438150"/>
          <wp:effectExtent l="0" t="0" r="0" b="0"/>
          <wp:wrapTight wrapText="bothSides">
            <wp:wrapPolygon edited="0">
              <wp:start x="0" y="0"/>
              <wp:lineTo x="0" y="20661"/>
              <wp:lineTo x="20700" y="20661"/>
              <wp:lineTo x="20700" y="0"/>
              <wp:lineTo x="0" y="0"/>
            </wp:wrapPolygon>
          </wp:wrapTight>
          <wp:docPr id="1" name="Picture 1"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F038D66" wp14:editId="07777777">
          <wp:simplePos x="0" y="0"/>
          <wp:positionH relativeFrom="column">
            <wp:posOffset>8810625</wp:posOffset>
          </wp:positionH>
          <wp:positionV relativeFrom="paragraph">
            <wp:posOffset>-106680</wp:posOffset>
          </wp:positionV>
          <wp:extent cx="457200" cy="438150"/>
          <wp:effectExtent l="0" t="0" r="0" b="0"/>
          <wp:wrapTight wrapText="bothSides">
            <wp:wrapPolygon edited="0">
              <wp:start x="0" y="0"/>
              <wp:lineTo x="0" y="20661"/>
              <wp:lineTo x="20700" y="20661"/>
              <wp:lineTo x="20700" y="0"/>
              <wp:lineTo x="0" y="0"/>
            </wp:wrapPolygon>
          </wp:wrapTight>
          <wp:docPr id="3" name="Picture 3" descr="Bishop Lonsdale-Logo"/>
          <wp:cNvGraphicFramePr/>
          <a:graphic xmlns:a="http://schemas.openxmlformats.org/drawingml/2006/main">
            <a:graphicData uri="http://schemas.openxmlformats.org/drawingml/2006/picture">
              <pic:pic xmlns:pic="http://schemas.openxmlformats.org/drawingml/2006/picture">
                <pic:nvPicPr>
                  <pic:cNvPr id="3" name="Picture 3" descr="Bishop Lonsdale-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Cs/>
        <w:smallCaps/>
        <w:color w:val="0000FF"/>
        <w:sz w:val="32"/>
      </w:rPr>
      <w:t>Bishop Lonsdale Church of England Primary School and Nursery</w:t>
    </w:r>
  </w:p>
  <w:p w14:paraId="0D0B940D" w14:textId="77777777" w:rsidR="00FB52CD" w:rsidRDefault="00FB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1A5"/>
    <w:multiLevelType w:val="hybridMultilevel"/>
    <w:tmpl w:val="7878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C50D4"/>
    <w:multiLevelType w:val="hybridMultilevel"/>
    <w:tmpl w:val="32623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7D6408"/>
    <w:multiLevelType w:val="multilevel"/>
    <w:tmpl w:val="BBE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3511B"/>
    <w:rsid w:val="001C276E"/>
    <w:rsid w:val="002D25DB"/>
    <w:rsid w:val="0034693E"/>
    <w:rsid w:val="00450EC8"/>
    <w:rsid w:val="0047233D"/>
    <w:rsid w:val="005042D5"/>
    <w:rsid w:val="005C1B8E"/>
    <w:rsid w:val="007224DF"/>
    <w:rsid w:val="00800DA1"/>
    <w:rsid w:val="009355E8"/>
    <w:rsid w:val="00AA2E48"/>
    <w:rsid w:val="00E01234"/>
    <w:rsid w:val="00EA7706"/>
    <w:rsid w:val="00FB52CD"/>
    <w:rsid w:val="781F5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145FB"/>
  <w15:chartTrackingRefBased/>
  <w15:docId w15:val="{F889CF35-6A98-40DB-BFEE-07F2614F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2CD"/>
  </w:style>
  <w:style w:type="paragraph" w:styleId="Footer">
    <w:name w:val="footer"/>
    <w:basedOn w:val="Normal"/>
    <w:link w:val="FooterChar"/>
    <w:uiPriority w:val="99"/>
    <w:unhideWhenUsed/>
    <w:rsid w:val="00FB5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2CD"/>
  </w:style>
  <w:style w:type="character" w:styleId="Strong">
    <w:name w:val="Strong"/>
    <w:basedOn w:val="DefaultParagraphFont"/>
    <w:uiPriority w:val="22"/>
    <w:qFormat/>
    <w:rsid w:val="00FB52CD"/>
    <w:rPr>
      <w:b/>
      <w:bCs/>
    </w:rPr>
  </w:style>
  <w:style w:type="character" w:styleId="Emphasis">
    <w:name w:val="Emphasis"/>
    <w:basedOn w:val="DefaultParagraphFont"/>
    <w:uiPriority w:val="20"/>
    <w:qFormat/>
    <w:rsid w:val="00FB52CD"/>
    <w:rPr>
      <w:i/>
      <w:iCs/>
    </w:rPr>
  </w:style>
  <w:style w:type="paragraph" w:styleId="NormalWeb">
    <w:name w:val="Normal (Web)"/>
    <w:basedOn w:val="Normal"/>
    <w:uiPriority w:val="99"/>
    <w:semiHidden/>
    <w:unhideWhenUsed/>
    <w:rsid w:val="00FB5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511B"/>
    <w:pPr>
      <w:ind w:left="720"/>
      <w:contextualSpacing/>
    </w:pPr>
  </w:style>
  <w:style w:type="table" w:styleId="TableGrid">
    <w:name w:val="Table Grid"/>
    <w:basedOn w:val="TableNormal"/>
    <w:uiPriority w:val="39"/>
    <w:rsid w:val="0003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1930">
      <w:bodyDiv w:val="1"/>
      <w:marLeft w:val="0"/>
      <w:marRight w:val="0"/>
      <w:marTop w:val="0"/>
      <w:marBottom w:val="0"/>
      <w:divBdr>
        <w:top w:val="none" w:sz="0" w:space="0" w:color="auto"/>
        <w:left w:val="none" w:sz="0" w:space="0" w:color="auto"/>
        <w:bottom w:val="none" w:sz="0" w:space="0" w:color="auto"/>
        <w:right w:val="none" w:sz="0" w:space="0" w:color="auto"/>
      </w:divBdr>
      <w:divsChild>
        <w:div w:id="1317995635">
          <w:marLeft w:val="0"/>
          <w:marRight w:val="0"/>
          <w:marTop w:val="0"/>
          <w:marBottom w:val="0"/>
          <w:divBdr>
            <w:top w:val="none" w:sz="0" w:space="0" w:color="auto"/>
            <w:left w:val="none" w:sz="0" w:space="0" w:color="auto"/>
            <w:bottom w:val="none" w:sz="0" w:space="0" w:color="auto"/>
            <w:right w:val="none" w:sz="0" w:space="0" w:color="auto"/>
          </w:divBdr>
        </w:div>
      </w:divsChild>
    </w:div>
    <w:div w:id="18510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f76ed1-5b21-4ee2-8b41-48873eeb7e6b" xsi:nil="true"/>
    <lcf76f155ced4ddcb4097134ff3c332f xmlns="2701a86e-03b2-4216-a79c-aa5bb1a9c8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95F2C3CA0394788229E45B4821A73" ma:contentTypeVersion="20" ma:contentTypeDescription="Create a new document." ma:contentTypeScope="" ma:versionID="b8ae0708f36d486d072eb83374116fb9">
  <xsd:schema xmlns:xsd="http://www.w3.org/2001/XMLSchema" xmlns:xs="http://www.w3.org/2001/XMLSchema" xmlns:p="http://schemas.microsoft.com/office/2006/metadata/properties" xmlns:ns2="2701a86e-03b2-4216-a79c-aa5bb1a9c8bf" xmlns:ns3="89f76ed1-5b21-4ee2-8b41-48873eeb7e6b" targetNamespace="http://schemas.microsoft.com/office/2006/metadata/properties" ma:root="true" ma:fieldsID="bb2d1262e56fe2c54a2f8b772ddc6ec6" ns2:_="" ns3:_="">
    <xsd:import namespace="2701a86e-03b2-4216-a79c-aa5bb1a9c8bf"/>
    <xsd:import namespace="89f76ed1-5b21-4ee2-8b41-48873eeb7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1a86e-03b2-4216-a79c-aa5bb1a9c8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2f1e13-4ce1-4c23-a061-ee98724143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6ed1-5b21-4ee2-8b41-48873eeb7e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cfafc0c-4236-43a9-8b32-7c18c11c99d2}" ma:internalName="TaxCatchAll" ma:showField="CatchAllData" ma:web="89f76ed1-5b21-4ee2-8b41-48873eeb7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42C23-2244-48CA-9DFA-03461575AE12}">
  <ds:schemaRefs>
    <ds:schemaRef ds:uri="http://schemas.microsoft.com/office/2006/metadata/properties"/>
    <ds:schemaRef ds:uri="http://schemas.microsoft.com/office/infopath/2007/PartnerControls"/>
    <ds:schemaRef ds:uri="89f76ed1-5b21-4ee2-8b41-48873eeb7e6b"/>
    <ds:schemaRef ds:uri="2701a86e-03b2-4216-a79c-aa5bb1a9c8bf"/>
  </ds:schemaRefs>
</ds:datastoreItem>
</file>

<file path=customXml/itemProps2.xml><?xml version="1.0" encoding="utf-8"?>
<ds:datastoreItem xmlns:ds="http://schemas.openxmlformats.org/officeDocument/2006/customXml" ds:itemID="{74066184-B8E4-4B68-B47D-0F422FEC2EDD}">
  <ds:schemaRefs>
    <ds:schemaRef ds:uri="http://schemas.microsoft.com/sharepoint/v3/contenttype/forms"/>
  </ds:schemaRefs>
</ds:datastoreItem>
</file>

<file path=customXml/itemProps3.xml><?xml version="1.0" encoding="utf-8"?>
<ds:datastoreItem xmlns:ds="http://schemas.openxmlformats.org/officeDocument/2006/customXml" ds:itemID="{4D5055AE-D5AC-49E3-9290-AC4C2767ACD1}"/>
</file>

<file path=docProps/app.xml><?xml version="1.0" encoding="utf-8"?>
<Properties xmlns="http://schemas.openxmlformats.org/officeDocument/2006/extended-properties" xmlns:vt="http://schemas.openxmlformats.org/officeDocument/2006/docPropsVTypes">
  <Template>Normal</Template>
  <TotalTime>23</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Gilbert</dc:creator>
  <cp:keywords/>
  <dc:description/>
  <cp:lastModifiedBy>L Buckley</cp:lastModifiedBy>
  <cp:revision>3</cp:revision>
  <dcterms:created xsi:type="dcterms:W3CDTF">2024-03-18T15:06:00Z</dcterms:created>
  <dcterms:modified xsi:type="dcterms:W3CDTF">2024-03-18T15:29:00Z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0x01010071795F2C3CA0394788229E45B4821A73</vt:lpwstr>
  </property>
  <property fmtid="{D5CDD505-2E9C-101B-9397-08002B2CF9AE}" pid="3" name="MediaServiceImageTags">
    <vt:lpwstr/>
  </property>
</Properties>
</file>